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1CE6B" w14:textId="108E8C33" w:rsidR="00FB0AB5" w:rsidRPr="00656F51" w:rsidRDefault="00FB0AB5" w:rsidP="00656F51">
      <w:pPr>
        <w:pStyle w:val="Title"/>
        <w:jc w:val="center"/>
        <w:rPr>
          <w:u w:val="single"/>
        </w:rPr>
      </w:pPr>
      <w:r w:rsidRPr="00656F51">
        <w:rPr>
          <w:u w:val="single"/>
        </w:rPr>
        <w:t>POSITION DESCRIPTION</w:t>
      </w:r>
    </w:p>
    <w:p w14:paraId="16BDD1CA" w14:textId="77777777" w:rsidR="00FB0AB5" w:rsidRDefault="00FB0AB5" w:rsidP="00FB0AB5">
      <w:pPr>
        <w:pStyle w:val="Titl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0AB5" w:rsidRPr="00A33515" w14:paraId="77EE5C5A" w14:textId="77777777" w:rsidTr="00A33515">
        <w:trPr>
          <w:trHeight w:val="422"/>
        </w:trPr>
        <w:tc>
          <w:tcPr>
            <w:tcW w:w="10790" w:type="dxa"/>
            <w:shd w:val="clear" w:color="auto" w:fill="000000" w:themeFill="text1"/>
          </w:tcPr>
          <w:p w14:paraId="2E72748F" w14:textId="4AD58CE4" w:rsidR="00FB0AB5" w:rsidRPr="00A33515" w:rsidRDefault="00FB0AB5" w:rsidP="00FB0AB5">
            <w:pPr>
              <w:rPr>
                <w:sz w:val="28"/>
                <w:szCs w:val="28"/>
              </w:rPr>
            </w:pPr>
            <w:r w:rsidRPr="00A33515">
              <w:rPr>
                <w:sz w:val="28"/>
                <w:szCs w:val="28"/>
              </w:rPr>
              <w:t>SECTION 1: GENERAL INFORMATION</w:t>
            </w:r>
          </w:p>
        </w:tc>
      </w:tr>
    </w:tbl>
    <w:p w14:paraId="2AA97478" w14:textId="77777777" w:rsidR="00A33515" w:rsidRDefault="00A33515" w:rsidP="00FB0AB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A33515" w14:paraId="15CF2E29" w14:textId="77777777" w:rsidTr="00A33515">
        <w:trPr>
          <w:trHeight w:val="350"/>
        </w:trPr>
        <w:tc>
          <w:tcPr>
            <w:tcW w:w="3055" w:type="dxa"/>
          </w:tcPr>
          <w:p w14:paraId="1F659EBB" w14:textId="26751F69" w:rsidR="00A33515" w:rsidRPr="00A33515" w:rsidRDefault="00A33515" w:rsidP="00FB0AB5">
            <w:pPr>
              <w:rPr>
                <w:b/>
                <w:bCs/>
              </w:rPr>
            </w:pPr>
            <w:r w:rsidRPr="00A33515">
              <w:rPr>
                <w:b/>
                <w:bCs/>
              </w:rPr>
              <w:t>DATE</w:t>
            </w:r>
          </w:p>
        </w:tc>
        <w:tc>
          <w:tcPr>
            <w:tcW w:w="7735" w:type="dxa"/>
          </w:tcPr>
          <w:p w14:paraId="1887337E" w14:textId="7E59DEB5" w:rsidR="00A33515" w:rsidRPr="00A33515" w:rsidRDefault="00FB36AF" w:rsidP="00FB0AB5">
            <w:pPr>
              <w:rPr>
                <w:b/>
                <w:bCs/>
              </w:rPr>
            </w:pPr>
            <w:r>
              <w:rPr>
                <w:b/>
                <w:bCs/>
              </w:rPr>
              <w:t>April 9, 2024</w:t>
            </w:r>
          </w:p>
        </w:tc>
      </w:tr>
      <w:tr w:rsidR="00A33515" w14:paraId="6E49A94F" w14:textId="77777777" w:rsidTr="00AC04FB">
        <w:trPr>
          <w:trHeight w:val="350"/>
        </w:trPr>
        <w:tc>
          <w:tcPr>
            <w:tcW w:w="3055" w:type="dxa"/>
          </w:tcPr>
          <w:p w14:paraId="482A9603" w14:textId="676F7C14" w:rsidR="00A33515" w:rsidRPr="00A33515" w:rsidRDefault="00A33515" w:rsidP="00FB0AB5">
            <w:pPr>
              <w:rPr>
                <w:b/>
                <w:bCs/>
              </w:rPr>
            </w:pPr>
            <w:r w:rsidRPr="00A33515">
              <w:rPr>
                <w:b/>
                <w:bCs/>
              </w:rPr>
              <w:t>POSITION TITLE</w:t>
            </w:r>
          </w:p>
        </w:tc>
        <w:tc>
          <w:tcPr>
            <w:tcW w:w="7735" w:type="dxa"/>
            <w:shd w:val="clear" w:color="auto" w:fill="auto"/>
          </w:tcPr>
          <w:p w14:paraId="24C9D6FF" w14:textId="783E028B" w:rsidR="00A33515" w:rsidRPr="00AC04FB" w:rsidRDefault="003468A9" w:rsidP="00FB0AB5">
            <w:pPr>
              <w:rPr>
                <w:b/>
                <w:bCs/>
              </w:rPr>
            </w:pPr>
            <w:r w:rsidRPr="00AC04FB">
              <w:rPr>
                <w:b/>
                <w:bCs/>
              </w:rPr>
              <w:t>Urban Planner</w:t>
            </w:r>
            <w:r w:rsidR="00505216" w:rsidRPr="00AC04FB">
              <w:rPr>
                <w:b/>
                <w:bCs/>
              </w:rPr>
              <w:t xml:space="preserve">   </w:t>
            </w:r>
            <w:r w:rsidR="009F323A">
              <w:rPr>
                <w:b/>
                <w:bCs/>
              </w:rPr>
              <w:t xml:space="preserve">    </w:t>
            </w:r>
            <w:r w:rsidR="00505216" w:rsidRPr="00AC04FB">
              <w:rPr>
                <w:b/>
                <w:bCs/>
              </w:rPr>
              <w:t xml:space="preserve"> </w:t>
            </w:r>
            <w:r w:rsidR="00762895" w:rsidRPr="00AC04FB">
              <w:rPr>
                <w:b/>
                <w:bCs/>
              </w:rPr>
              <w:t xml:space="preserve"> NOC </w:t>
            </w:r>
            <w:r w:rsidRPr="00AC04FB">
              <w:rPr>
                <w:b/>
                <w:bCs/>
              </w:rPr>
              <w:t>21</w:t>
            </w:r>
            <w:r w:rsidR="00AC04FB" w:rsidRPr="00AC04FB">
              <w:rPr>
                <w:b/>
                <w:bCs/>
              </w:rPr>
              <w:t>202</w:t>
            </w:r>
          </w:p>
        </w:tc>
      </w:tr>
      <w:tr w:rsidR="00A33515" w14:paraId="29A5EF27" w14:textId="77777777" w:rsidTr="00A33515">
        <w:trPr>
          <w:trHeight w:val="350"/>
        </w:trPr>
        <w:tc>
          <w:tcPr>
            <w:tcW w:w="3055" w:type="dxa"/>
          </w:tcPr>
          <w:p w14:paraId="1AF13024" w14:textId="6A7BDC9B" w:rsidR="00A33515" w:rsidRPr="00A33515" w:rsidRDefault="00A33515" w:rsidP="00FB0AB5">
            <w:pPr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  <w:r w:rsidRPr="00A33515">
              <w:rPr>
                <w:b/>
                <w:bCs/>
              </w:rPr>
              <w:t>/SITE</w:t>
            </w:r>
          </w:p>
        </w:tc>
        <w:tc>
          <w:tcPr>
            <w:tcW w:w="7735" w:type="dxa"/>
          </w:tcPr>
          <w:p w14:paraId="31D0930C" w14:textId="74E0161C" w:rsidR="00A33515" w:rsidRPr="00A33515" w:rsidRDefault="003468A9" w:rsidP="00FB0AB5">
            <w:pPr>
              <w:rPr>
                <w:b/>
                <w:bCs/>
              </w:rPr>
            </w:pPr>
            <w:r>
              <w:rPr>
                <w:b/>
                <w:bCs/>
              </w:rPr>
              <w:t>Development/</w:t>
            </w:r>
            <w:r w:rsidR="00AB4CB5">
              <w:rPr>
                <w:b/>
                <w:bCs/>
              </w:rPr>
              <w:t>I</w:t>
            </w:r>
            <w:r w:rsidR="009F323A">
              <w:rPr>
                <w:b/>
                <w:bCs/>
              </w:rPr>
              <w:t xml:space="preserve">ronclad Developments </w:t>
            </w:r>
            <w:r w:rsidR="00AB4CB5">
              <w:rPr>
                <w:b/>
                <w:bCs/>
              </w:rPr>
              <w:t>Head Office</w:t>
            </w:r>
          </w:p>
        </w:tc>
      </w:tr>
      <w:tr w:rsidR="00A33515" w14:paraId="7B3AB449" w14:textId="77777777" w:rsidTr="00A33515">
        <w:trPr>
          <w:trHeight w:val="350"/>
        </w:trPr>
        <w:tc>
          <w:tcPr>
            <w:tcW w:w="3055" w:type="dxa"/>
          </w:tcPr>
          <w:p w14:paraId="5DD4830F" w14:textId="3B38BD58" w:rsidR="00A33515" w:rsidRPr="00A33515" w:rsidRDefault="00A33515" w:rsidP="00FB0AB5">
            <w:pPr>
              <w:rPr>
                <w:b/>
                <w:bCs/>
              </w:rPr>
            </w:pPr>
            <w:r w:rsidRPr="00A33515">
              <w:rPr>
                <w:b/>
                <w:bCs/>
              </w:rPr>
              <w:t>REPORTS TO</w:t>
            </w:r>
          </w:p>
        </w:tc>
        <w:tc>
          <w:tcPr>
            <w:tcW w:w="7735" w:type="dxa"/>
          </w:tcPr>
          <w:p w14:paraId="3CB4B2C3" w14:textId="667675C8" w:rsidR="00A33515" w:rsidRPr="00A33515" w:rsidRDefault="00CD3EC5" w:rsidP="00FB0AB5">
            <w:pPr>
              <w:rPr>
                <w:b/>
                <w:bCs/>
              </w:rPr>
            </w:pPr>
            <w:r>
              <w:rPr>
                <w:b/>
                <w:bCs/>
              </w:rPr>
              <w:t>Director of Development</w:t>
            </w:r>
          </w:p>
        </w:tc>
      </w:tr>
    </w:tbl>
    <w:p w14:paraId="1122A57D" w14:textId="77777777" w:rsidR="00A33515" w:rsidRDefault="00A33515" w:rsidP="00FB0A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3515" w14:paraId="1D6EBF87" w14:textId="77777777" w:rsidTr="00A33515">
        <w:tc>
          <w:tcPr>
            <w:tcW w:w="10790" w:type="dxa"/>
            <w:shd w:val="clear" w:color="auto" w:fill="000000" w:themeFill="text1"/>
          </w:tcPr>
          <w:p w14:paraId="14F88764" w14:textId="4E21A112" w:rsidR="00A33515" w:rsidRPr="00A33515" w:rsidRDefault="00A33515" w:rsidP="00FB0AB5">
            <w:pPr>
              <w:rPr>
                <w:sz w:val="28"/>
                <w:szCs w:val="28"/>
              </w:rPr>
            </w:pPr>
            <w:r w:rsidRPr="00A33515">
              <w:rPr>
                <w:sz w:val="28"/>
                <w:szCs w:val="28"/>
              </w:rPr>
              <w:t>SECTION 2:  DEPARTMENT/SITE AND POSITION SUMMARY</w:t>
            </w:r>
          </w:p>
        </w:tc>
      </w:tr>
    </w:tbl>
    <w:p w14:paraId="3C636D9C" w14:textId="38D92EF0" w:rsidR="00A33515" w:rsidRDefault="00A33515" w:rsidP="00FB0AB5"/>
    <w:p w14:paraId="4219FE4D" w14:textId="262B3E59" w:rsidR="00894A9A" w:rsidRPr="00894A9A" w:rsidRDefault="003468A9" w:rsidP="00894A9A">
      <w:pPr>
        <w:rPr>
          <w:i/>
          <w:iCs/>
        </w:rPr>
      </w:pPr>
      <w:r>
        <w:rPr>
          <w:i/>
          <w:iCs/>
        </w:rPr>
        <w:t>The job description for the position Urban Planner for Ironclad Developments Inc. is identified below. The job description is based o</w:t>
      </w:r>
      <w:r w:rsidR="008D03C3">
        <w:rPr>
          <w:i/>
          <w:iCs/>
        </w:rPr>
        <w:t>n</w:t>
      </w:r>
      <w:r>
        <w:rPr>
          <w:i/>
          <w:iCs/>
        </w:rPr>
        <w:t xml:space="preserve"> the critical needs required for the above</w:t>
      </w:r>
      <w:r w:rsidR="008D03C3">
        <w:rPr>
          <w:i/>
          <w:iCs/>
        </w:rPr>
        <w:t>-noted</w:t>
      </w:r>
      <w:r>
        <w:rPr>
          <w:i/>
          <w:iCs/>
        </w:rPr>
        <w:t xml:space="preserve"> position. The position is classified as a full-time position with 40 hours achieved weekly. Each shift will consist of not less than 8 hours per day with one 30-minute unpaid lunchbreak. The Urban Planner will work under the direction of the </w:t>
      </w:r>
      <w:r w:rsidR="008D03C3">
        <w:rPr>
          <w:i/>
          <w:iCs/>
        </w:rPr>
        <w:t xml:space="preserve">Director of </w:t>
      </w:r>
      <w:r>
        <w:rPr>
          <w:i/>
          <w:iCs/>
        </w:rPr>
        <w:t>Development.</w:t>
      </w:r>
      <w:r w:rsidR="00DF3B6F">
        <w:rPr>
          <w:i/>
          <w:i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0E2D" w14:paraId="7E7D01AF" w14:textId="77777777" w:rsidTr="00B00E2D">
        <w:tc>
          <w:tcPr>
            <w:tcW w:w="10790" w:type="dxa"/>
            <w:shd w:val="clear" w:color="auto" w:fill="000000" w:themeFill="text1"/>
          </w:tcPr>
          <w:p w14:paraId="6709CFFD" w14:textId="450F4F4E" w:rsidR="00B00E2D" w:rsidRPr="00B00E2D" w:rsidRDefault="00B00E2D" w:rsidP="00FB0AB5">
            <w:pPr>
              <w:rPr>
                <w:sz w:val="28"/>
                <w:szCs w:val="28"/>
              </w:rPr>
            </w:pPr>
            <w:r w:rsidRPr="00B00E2D">
              <w:rPr>
                <w:sz w:val="28"/>
                <w:szCs w:val="28"/>
              </w:rPr>
              <w:t>SECTION 3:  MAJOR AREAS OF RESPONSIBILITY &amp; ACTIVITIES</w:t>
            </w:r>
          </w:p>
        </w:tc>
      </w:tr>
    </w:tbl>
    <w:p w14:paraId="491245E7" w14:textId="77622A97" w:rsidR="00A33515" w:rsidRDefault="00A33515" w:rsidP="00FB0AB5"/>
    <w:p w14:paraId="57717549" w14:textId="4A70A4BF" w:rsidR="00E15D92" w:rsidRDefault="00E15D92" w:rsidP="00AF6A4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Provide in-house professional planning services to support the acquisition and development of sites for multi-family </w:t>
      </w:r>
      <w:r w:rsidR="00AC4956">
        <w:rPr>
          <w:rFonts w:cstheme="minorHAnsi"/>
        </w:rPr>
        <w:t xml:space="preserve">residential </w:t>
      </w:r>
      <w:r>
        <w:rPr>
          <w:rFonts w:cstheme="minorHAnsi"/>
        </w:rPr>
        <w:t xml:space="preserve">and mixed-use projects </w:t>
      </w:r>
      <w:r w:rsidRPr="00AE5F0E">
        <w:rPr>
          <w:rFonts w:cstheme="minorHAnsi"/>
        </w:rPr>
        <w:t>in multiple jurisdictions across Canada</w:t>
      </w:r>
      <w:r>
        <w:rPr>
          <w:rFonts w:cstheme="minorHAnsi"/>
        </w:rPr>
        <w:t>, including specific activities as described below.</w:t>
      </w:r>
    </w:p>
    <w:p w14:paraId="70800DB4" w14:textId="001B4038" w:rsidR="00DE060D" w:rsidRDefault="00DE060D" w:rsidP="00DE060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Prepare and present applications to approving authorities for development permits, variances, rezonings, subdivisions, and amendments to community and neighbourhood plans.</w:t>
      </w:r>
    </w:p>
    <w:p w14:paraId="086613A3" w14:textId="159CA599" w:rsidR="00DE060D" w:rsidRPr="00DE060D" w:rsidRDefault="00DE060D" w:rsidP="00DE060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3C651A">
        <w:rPr>
          <w:rFonts w:eastAsia="Times New Roman" w:cstheme="minorHAnsi"/>
          <w:color w:val="000000"/>
        </w:rPr>
        <w:t>Prepare and conduct public engagement programs and public hearing presentations in support of development applications.</w:t>
      </w:r>
    </w:p>
    <w:p w14:paraId="117B9944" w14:textId="1B6AEFD9" w:rsidR="00ED44F1" w:rsidRDefault="00BB0D1B" w:rsidP="00AF6A4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AE5F0E">
        <w:rPr>
          <w:rFonts w:cstheme="minorHAnsi"/>
        </w:rPr>
        <w:t xml:space="preserve">Research and </w:t>
      </w:r>
      <w:r w:rsidR="00AE5F0E" w:rsidRPr="00AE5F0E">
        <w:rPr>
          <w:rFonts w:cstheme="minorHAnsi"/>
        </w:rPr>
        <w:t xml:space="preserve">analyze </w:t>
      </w:r>
      <w:r w:rsidR="004A15F4">
        <w:rPr>
          <w:rFonts w:cstheme="minorHAnsi"/>
        </w:rPr>
        <w:t xml:space="preserve">the </w:t>
      </w:r>
      <w:r w:rsidRPr="00AE5F0E">
        <w:rPr>
          <w:rFonts w:cstheme="minorHAnsi"/>
        </w:rPr>
        <w:t>planning policies, zoning re</w:t>
      </w:r>
      <w:r w:rsidR="00AE5F0E" w:rsidRPr="00AE5F0E">
        <w:rPr>
          <w:rFonts w:cstheme="minorHAnsi"/>
        </w:rPr>
        <w:t xml:space="preserve">gulations, and development guidelines applicable to </w:t>
      </w:r>
      <w:r w:rsidR="00ED44F1">
        <w:rPr>
          <w:rFonts w:cstheme="minorHAnsi"/>
        </w:rPr>
        <w:t xml:space="preserve">potential </w:t>
      </w:r>
      <w:r w:rsidR="00AE5F0E" w:rsidRPr="00AE5F0E">
        <w:rPr>
          <w:rFonts w:cstheme="minorHAnsi"/>
        </w:rPr>
        <w:t>si</w:t>
      </w:r>
      <w:r w:rsidR="00AE5F0E">
        <w:rPr>
          <w:rFonts w:cstheme="minorHAnsi"/>
        </w:rPr>
        <w:t>t</w:t>
      </w:r>
      <w:r w:rsidR="00AE5F0E" w:rsidRPr="00AE5F0E">
        <w:rPr>
          <w:rFonts w:cstheme="minorHAnsi"/>
        </w:rPr>
        <w:t>es</w:t>
      </w:r>
      <w:r w:rsidR="00ED44F1">
        <w:rPr>
          <w:rFonts w:cstheme="minorHAnsi"/>
        </w:rPr>
        <w:t>, and assess</w:t>
      </w:r>
      <w:r w:rsidR="000716A2">
        <w:rPr>
          <w:rFonts w:cstheme="minorHAnsi"/>
        </w:rPr>
        <w:t xml:space="preserve"> </w:t>
      </w:r>
      <w:r w:rsidR="00ED44F1">
        <w:rPr>
          <w:rFonts w:cstheme="minorHAnsi"/>
        </w:rPr>
        <w:t xml:space="preserve">what </w:t>
      </w:r>
      <w:r w:rsidR="000716A2">
        <w:rPr>
          <w:rFonts w:cstheme="minorHAnsi"/>
        </w:rPr>
        <w:t>density</w:t>
      </w:r>
      <w:r w:rsidR="00154C46">
        <w:rPr>
          <w:rFonts w:cstheme="minorHAnsi"/>
        </w:rPr>
        <w:t xml:space="preserve"> </w:t>
      </w:r>
      <w:r w:rsidR="000716A2">
        <w:rPr>
          <w:rFonts w:cstheme="minorHAnsi"/>
        </w:rPr>
        <w:t>can be achieved</w:t>
      </w:r>
      <w:r w:rsidR="00ED44F1">
        <w:rPr>
          <w:rFonts w:cstheme="minorHAnsi"/>
        </w:rPr>
        <w:t xml:space="preserve"> based on planning regulations, site characteristics, neighbourhood  character, and political climate.</w:t>
      </w:r>
    </w:p>
    <w:p w14:paraId="19F7EAD4" w14:textId="7994B0E4" w:rsidR="00AC4956" w:rsidRDefault="00AC4956" w:rsidP="00AF6A4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Research</w:t>
      </w:r>
      <w:r w:rsidR="00C81EA1">
        <w:rPr>
          <w:rFonts w:cstheme="minorHAnsi"/>
        </w:rPr>
        <w:t xml:space="preserve">, </w:t>
      </w:r>
      <w:r>
        <w:rPr>
          <w:rFonts w:cstheme="minorHAnsi"/>
        </w:rPr>
        <w:t>summarize</w:t>
      </w:r>
      <w:r w:rsidR="00C81EA1">
        <w:rPr>
          <w:rFonts w:cstheme="minorHAnsi"/>
        </w:rPr>
        <w:t>, and continuously update</w:t>
      </w:r>
      <w:r>
        <w:rPr>
          <w:rFonts w:cstheme="minorHAnsi"/>
        </w:rPr>
        <w:t xml:space="preserve"> projected costs for all </w:t>
      </w:r>
      <w:r w:rsidR="00E659D9">
        <w:rPr>
          <w:rFonts w:cstheme="minorHAnsi"/>
        </w:rPr>
        <w:t xml:space="preserve">application and permit fees, </w:t>
      </w:r>
      <w:r>
        <w:rPr>
          <w:rFonts w:cstheme="minorHAnsi"/>
        </w:rPr>
        <w:t>development charges, and on-site and off-site servicing and landscaping requirements</w:t>
      </w:r>
      <w:r w:rsidR="00B04C45">
        <w:rPr>
          <w:rFonts w:cstheme="minorHAnsi"/>
        </w:rPr>
        <w:t xml:space="preserve">, </w:t>
      </w:r>
      <w:r w:rsidR="00C81EA1">
        <w:rPr>
          <w:rFonts w:cstheme="minorHAnsi"/>
        </w:rPr>
        <w:t xml:space="preserve">and </w:t>
      </w:r>
      <w:r w:rsidR="00E659D9">
        <w:rPr>
          <w:rFonts w:cstheme="minorHAnsi"/>
        </w:rPr>
        <w:t>the related performance bonds</w:t>
      </w:r>
      <w:r>
        <w:rPr>
          <w:rFonts w:cstheme="minorHAnsi"/>
        </w:rPr>
        <w:t>.</w:t>
      </w:r>
    </w:p>
    <w:p w14:paraId="720C1ED2" w14:textId="63D90F09" w:rsidR="008C191E" w:rsidRDefault="008C191E" w:rsidP="00AF6A4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Consult municipal officials </w:t>
      </w:r>
      <w:r w:rsidR="00C81EA1">
        <w:rPr>
          <w:rFonts w:cstheme="minorHAnsi"/>
        </w:rPr>
        <w:t xml:space="preserve">regularly </w:t>
      </w:r>
      <w:r>
        <w:rPr>
          <w:rFonts w:cstheme="minorHAnsi"/>
        </w:rPr>
        <w:t xml:space="preserve">regarding </w:t>
      </w:r>
      <w:r w:rsidR="00C81EA1">
        <w:rPr>
          <w:rFonts w:cstheme="minorHAnsi"/>
        </w:rPr>
        <w:t xml:space="preserve">current </w:t>
      </w:r>
      <w:r w:rsidR="004A15F4">
        <w:rPr>
          <w:rFonts w:cstheme="minorHAnsi"/>
        </w:rPr>
        <w:t xml:space="preserve">turnaround times for the review of development and building permit applications, to inform the development </w:t>
      </w:r>
      <w:r w:rsidR="00C81EA1">
        <w:rPr>
          <w:rFonts w:cstheme="minorHAnsi"/>
        </w:rPr>
        <w:t xml:space="preserve">and updating </w:t>
      </w:r>
      <w:r w:rsidR="004A15F4">
        <w:rPr>
          <w:rFonts w:cstheme="minorHAnsi"/>
        </w:rPr>
        <w:t>of the construction  schedule.</w:t>
      </w:r>
      <w:r>
        <w:rPr>
          <w:rFonts w:cstheme="minorHAnsi"/>
        </w:rPr>
        <w:t xml:space="preserve"> </w:t>
      </w:r>
    </w:p>
    <w:p w14:paraId="53044CDC" w14:textId="586B3815" w:rsidR="000716A2" w:rsidRDefault="00154C46" w:rsidP="00AF6A4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Coordinate due diligence studies for sites under conditional agreements to purchase</w:t>
      </w:r>
      <w:r w:rsidR="00482EDC">
        <w:rPr>
          <w:rFonts w:cstheme="minorHAnsi"/>
        </w:rPr>
        <w:t xml:space="preserve">, including </w:t>
      </w:r>
      <w:r w:rsidR="00B04C45">
        <w:rPr>
          <w:rFonts w:cstheme="minorHAnsi"/>
        </w:rPr>
        <w:t xml:space="preserve">title searches and </w:t>
      </w:r>
      <w:r w:rsidR="00482EDC">
        <w:rPr>
          <w:rFonts w:cstheme="minorHAnsi"/>
        </w:rPr>
        <w:t>environmental site assessments and other reports as required,</w:t>
      </w:r>
      <w:r>
        <w:rPr>
          <w:rFonts w:cstheme="minorHAnsi"/>
        </w:rPr>
        <w:t xml:space="preserve"> and provide risk assessments to inform the decision </w:t>
      </w:r>
      <w:proofErr w:type="gramStart"/>
      <w:r>
        <w:rPr>
          <w:rFonts w:cstheme="minorHAnsi"/>
        </w:rPr>
        <w:t>whether or not</w:t>
      </w:r>
      <w:proofErr w:type="gramEnd"/>
      <w:r>
        <w:rPr>
          <w:rFonts w:cstheme="minorHAnsi"/>
        </w:rPr>
        <w:t xml:space="preserve"> to proceed with the purchase.</w:t>
      </w:r>
    </w:p>
    <w:p w14:paraId="12633B58" w14:textId="2C181E4E" w:rsidR="00AC4956" w:rsidRPr="00AC4956" w:rsidRDefault="00482EDC" w:rsidP="00AF6A4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Engage and supervise external consultants and cont</w:t>
      </w:r>
      <w:r w:rsidR="00E659D9">
        <w:rPr>
          <w:rFonts w:cstheme="minorHAnsi"/>
        </w:rPr>
        <w:t>r</w:t>
      </w:r>
      <w:r>
        <w:rPr>
          <w:rFonts w:cstheme="minorHAnsi"/>
        </w:rPr>
        <w:t xml:space="preserve">actors, </w:t>
      </w:r>
      <w:r w:rsidR="00DC37E6">
        <w:rPr>
          <w:rFonts w:cstheme="minorHAnsi"/>
        </w:rPr>
        <w:t xml:space="preserve">i.e., </w:t>
      </w:r>
      <w:r>
        <w:rPr>
          <w:rFonts w:cstheme="minorHAnsi"/>
        </w:rPr>
        <w:t xml:space="preserve">prepare and issue requests for proposals, evaluate submissions received, recommend selected provider, and review </w:t>
      </w:r>
      <w:r w:rsidR="00AC4956">
        <w:rPr>
          <w:rFonts w:cstheme="minorHAnsi"/>
        </w:rPr>
        <w:t>deliverables</w:t>
      </w:r>
      <w:r>
        <w:rPr>
          <w:rFonts w:cstheme="minorHAnsi"/>
        </w:rPr>
        <w:t xml:space="preserve"> and invoices.</w:t>
      </w:r>
      <w:r w:rsidR="00AC4956" w:rsidRPr="00AC4956">
        <w:rPr>
          <w:rFonts w:cstheme="minorHAnsi"/>
        </w:rPr>
        <w:t xml:space="preserve"> </w:t>
      </w:r>
    </w:p>
    <w:p w14:paraId="51A392F0" w14:textId="2365AB55" w:rsidR="00AE5F0E" w:rsidRDefault="00ED44F1" w:rsidP="00AF6A4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F64855">
        <w:rPr>
          <w:rFonts w:cstheme="minorHAnsi"/>
        </w:rPr>
        <w:t>Prepare comprehensive summaries of applicable zoning requirements and planning policies to inform the design process</w:t>
      </w:r>
      <w:r w:rsidR="00F64855" w:rsidRPr="00F64855">
        <w:rPr>
          <w:rFonts w:cstheme="minorHAnsi"/>
        </w:rPr>
        <w:t>, and review</w:t>
      </w:r>
      <w:r w:rsidR="00AE5F0E" w:rsidRPr="00F64855">
        <w:rPr>
          <w:rFonts w:eastAsia="Times New Roman" w:cstheme="minorHAnsi"/>
          <w:color w:val="000000"/>
        </w:rPr>
        <w:t xml:space="preserve"> proposed architectural design drawings and provide recommendations to ensure bylaw </w:t>
      </w:r>
      <w:r w:rsidR="000716A2" w:rsidRPr="00F64855">
        <w:rPr>
          <w:rFonts w:eastAsia="Times New Roman" w:cstheme="minorHAnsi"/>
          <w:color w:val="000000"/>
        </w:rPr>
        <w:t xml:space="preserve">requirements </w:t>
      </w:r>
      <w:r w:rsidR="00AE5F0E" w:rsidRPr="00F64855">
        <w:rPr>
          <w:rFonts w:eastAsia="Times New Roman" w:cstheme="minorHAnsi"/>
          <w:color w:val="000000"/>
        </w:rPr>
        <w:t>and design guideline</w:t>
      </w:r>
      <w:r w:rsidR="00474691" w:rsidRPr="00F64855">
        <w:rPr>
          <w:rFonts w:eastAsia="Times New Roman" w:cstheme="minorHAnsi"/>
          <w:color w:val="000000"/>
        </w:rPr>
        <w:t xml:space="preserve">s </w:t>
      </w:r>
      <w:r w:rsidR="00AE5F0E" w:rsidRPr="00F64855">
        <w:rPr>
          <w:rFonts w:eastAsia="Times New Roman" w:cstheme="minorHAnsi"/>
          <w:color w:val="000000"/>
        </w:rPr>
        <w:t>are met.</w:t>
      </w:r>
    </w:p>
    <w:p w14:paraId="38C00BB6" w14:textId="36C606E7" w:rsidR="004A15F4" w:rsidRPr="00DE060D" w:rsidRDefault="004A15F4" w:rsidP="00DE060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cstheme="minorHAnsi"/>
        </w:rPr>
        <w:lastRenderedPageBreak/>
        <w:t xml:space="preserve">Review and synthesize </w:t>
      </w:r>
      <w:r w:rsidR="000922E4">
        <w:rPr>
          <w:rFonts w:cstheme="minorHAnsi"/>
        </w:rPr>
        <w:t xml:space="preserve">technical documentation, including but not limited to: surveys, design drawings, </w:t>
      </w:r>
      <w:proofErr w:type="gramStart"/>
      <w:r w:rsidR="000922E4">
        <w:rPr>
          <w:rFonts w:cstheme="minorHAnsi"/>
        </w:rPr>
        <w:t>and  engineering</w:t>
      </w:r>
      <w:proofErr w:type="gramEnd"/>
      <w:r w:rsidR="000922E4">
        <w:rPr>
          <w:rFonts w:cstheme="minorHAnsi"/>
        </w:rPr>
        <w:t xml:space="preserve"> reports. </w:t>
      </w:r>
      <w:r>
        <w:rPr>
          <w:rFonts w:cstheme="minorHAnsi"/>
        </w:rPr>
        <w:t xml:space="preserve"> </w:t>
      </w:r>
    </w:p>
    <w:p w14:paraId="5F5CDA4B" w14:textId="60AA56EE" w:rsidR="00B04C45" w:rsidRDefault="00AC4956" w:rsidP="00AF6A4C">
      <w:pPr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Work with legal counsel </w:t>
      </w:r>
      <w:r w:rsidR="00B04C45">
        <w:rPr>
          <w:rFonts w:eastAsia="Times New Roman" w:cstheme="minorHAnsi"/>
          <w:color w:val="000000"/>
        </w:rPr>
        <w:t xml:space="preserve">and </w:t>
      </w:r>
      <w:r w:rsidR="00AF6A4C">
        <w:rPr>
          <w:rFonts w:eastAsia="Times New Roman" w:cstheme="minorHAnsi"/>
          <w:color w:val="000000"/>
        </w:rPr>
        <w:t xml:space="preserve">negotiate with </w:t>
      </w:r>
      <w:r w:rsidR="00B04C45">
        <w:rPr>
          <w:rFonts w:eastAsia="Times New Roman" w:cstheme="minorHAnsi"/>
          <w:color w:val="000000"/>
        </w:rPr>
        <w:t>municipal officials to resolve the terms of servicing</w:t>
      </w:r>
      <w:r w:rsidR="00AF6A4C">
        <w:rPr>
          <w:rFonts w:eastAsia="Times New Roman" w:cstheme="minorHAnsi"/>
          <w:color w:val="000000"/>
        </w:rPr>
        <w:t xml:space="preserve">, subdivision, and </w:t>
      </w:r>
      <w:r w:rsidR="00B04C45">
        <w:rPr>
          <w:rFonts w:eastAsia="Times New Roman" w:cstheme="minorHAnsi"/>
          <w:color w:val="000000"/>
        </w:rPr>
        <w:t>development agreements.</w:t>
      </w:r>
    </w:p>
    <w:p w14:paraId="07AAC100" w14:textId="5D6E5438" w:rsidR="00B71D86" w:rsidRDefault="00B71D86" w:rsidP="00AF6A4C">
      <w:pPr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Respond to and resolve any property maintenance issues that may arise on development sites before the start of construction</w:t>
      </w:r>
      <w:r w:rsidR="00AF6A4C">
        <w:rPr>
          <w:rFonts w:eastAsia="Times New Roman" w:cstheme="minorHAnsi"/>
          <w:color w:val="000000"/>
        </w:rPr>
        <w:t>, including</w:t>
      </w:r>
      <w:r w:rsidR="004A15F4">
        <w:rPr>
          <w:rFonts w:eastAsia="Times New Roman" w:cstheme="minorHAnsi"/>
          <w:color w:val="000000"/>
        </w:rPr>
        <w:t>,</w:t>
      </w:r>
      <w:r w:rsidR="00AF6A4C">
        <w:rPr>
          <w:rFonts w:eastAsia="Times New Roman" w:cstheme="minorHAnsi"/>
          <w:color w:val="000000"/>
        </w:rPr>
        <w:t xml:space="preserve"> </w:t>
      </w:r>
      <w:r w:rsidR="008C191E">
        <w:rPr>
          <w:rFonts w:eastAsia="Times New Roman" w:cstheme="minorHAnsi"/>
          <w:color w:val="000000"/>
        </w:rPr>
        <w:t xml:space="preserve">where applicable, </w:t>
      </w:r>
      <w:r w:rsidR="00AF6A4C">
        <w:rPr>
          <w:rFonts w:eastAsia="Times New Roman" w:cstheme="minorHAnsi"/>
          <w:color w:val="000000"/>
        </w:rPr>
        <w:t>any issues with existing tenants or occupants</w:t>
      </w:r>
      <w:r>
        <w:rPr>
          <w:rFonts w:eastAsia="Times New Roman" w:cstheme="minorHAnsi"/>
          <w:color w:val="000000"/>
        </w:rPr>
        <w:t>.</w:t>
      </w:r>
    </w:p>
    <w:p w14:paraId="69845363" w14:textId="77777777" w:rsidR="00AF6A4C" w:rsidRDefault="00B71D86" w:rsidP="00AF6A4C">
      <w:pPr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Provide ongoing support to the design, construction, and finance teams as required after approval of the  development permit, including but not limited to:</w:t>
      </w:r>
    </w:p>
    <w:p w14:paraId="4BE85D22" w14:textId="77777777" w:rsidR="00AF6A4C" w:rsidRDefault="00B71D86" w:rsidP="00AF6A4C">
      <w:pPr>
        <w:numPr>
          <w:ilvl w:val="0"/>
          <w:numId w:val="29"/>
        </w:numPr>
        <w:spacing w:after="0" w:line="240" w:lineRule="auto"/>
        <w:ind w:left="108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interpreting planning policies and zoning regulations,</w:t>
      </w:r>
    </w:p>
    <w:p w14:paraId="223D8862" w14:textId="77777777" w:rsidR="00AF6A4C" w:rsidRDefault="00B71D86" w:rsidP="00AF6A4C">
      <w:pPr>
        <w:numPr>
          <w:ilvl w:val="0"/>
          <w:numId w:val="29"/>
        </w:numPr>
        <w:spacing w:after="0" w:line="240" w:lineRule="auto"/>
        <w:ind w:left="108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advising whether contemplated design changes require an amendment to the approved development permit,</w:t>
      </w:r>
    </w:p>
    <w:p w14:paraId="664217E0" w14:textId="03F9663B" w:rsidR="00AF6A4C" w:rsidRPr="008C191E" w:rsidRDefault="00AF6A4C" w:rsidP="008C191E">
      <w:pPr>
        <w:numPr>
          <w:ilvl w:val="0"/>
          <w:numId w:val="29"/>
        </w:numPr>
        <w:spacing w:after="0" w:line="240" w:lineRule="auto"/>
        <w:ind w:left="108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preparing and submitting development permit amendment applications when required,</w:t>
      </w:r>
      <w:r w:rsidRPr="008C191E">
        <w:rPr>
          <w:rFonts w:eastAsia="Times New Roman" w:cstheme="minorHAnsi"/>
          <w:color w:val="000000"/>
        </w:rPr>
        <w:t xml:space="preserve"> and</w:t>
      </w:r>
    </w:p>
    <w:p w14:paraId="10E4653D" w14:textId="4D3766F4" w:rsidR="00AF6A4C" w:rsidRDefault="00AF6A4C" w:rsidP="00AF6A4C">
      <w:pPr>
        <w:numPr>
          <w:ilvl w:val="0"/>
          <w:numId w:val="29"/>
        </w:numPr>
        <w:spacing w:after="0" w:line="240" w:lineRule="auto"/>
        <w:ind w:left="108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liaising with municipal officials </w:t>
      </w:r>
      <w:r w:rsidR="008C191E">
        <w:rPr>
          <w:rFonts w:eastAsia="Times New Roman" w:cstheme="minorHAnsi"/>
          <w:color w:val="000000"/>
        </w:rPr>
        <w:t xml:space="preserve">as required to expedite the approval of building permits and </w:t>
      </w:r>
      <w:r>
        <w:rPr>
          <w:rFonts w:eastAsia="Times New Roman" w:cstheme="minorHAnsi"/>
          <w:color w:val="000000"/>
        </w:rPr>
        <w:t>to secure the release of performance bonds and security deposits.</w:t>
      </w:r>
    </w:p>
    <w:p w14:paraId="47AF2B2F" w14:textId="60781399" w:rsidR="003468A9" w:rsidRPr="007B0F3D" w:rsidRDefault="00DC37E6" w:rsidP="007B0F3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Assist with market research and applications for housing grants and tax rebates.</w:t>
      </w:r>
    </w:p>
    <w:p w14:paraId="170153A3" w14:textId="7DA99C5C" w:rsidR="003468A9" w:rsidRDefault="00C81EA1" w:rsidP="00AF6A4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Actively monitor emerging trends in </w:t>
      </w:r>
      <w:r w:rsidR="000922E4">
        <w:rPr>
          <w:rFonts w:cstheme="minorHAnsi"/>
        </w:rPr>
        <w:t>provinc</w:t>
      </w:r>
      <w:r>
        <w:rPr>
          <w:rFonts w:cstheme="minorHAnsi"/>
        </w:rPr>
        <w:t xml:space="preserve">ial </w:t>
      </w:r>
      <w:r w:rsidR="000922E4">
        <w:rPr>
          <w:rFonts w:cstheme="minorHAnsi"/>
        </w:rPr>
        <w:t xml:space="preserve">and municipal </w:t>
      </w:r>
      <w:r w:rsidR="003468A9" w:rsidRPr="003468A9">
        <w:rPr>
          <w:rFonts w:cstheme="minorHAnsi"/>
        </w:rPr>
        <w:t xml:space="preserve">legislation </w:t>
      </w:r>
      <w:r w:rsidR="000922E4">
        <w:rPr>
          <w:rFonts w:cstheme="minorHAnsi"/>
        </w:rPr>
        <w:t xml:space="preserve">and </w:t>
      </w:r>
      <w:r>
        <w:rPr>
          <w:rFonts w:cstheme="minorHAnsi"/>
        </w:rPr>
        <w:t xml:space="preserve">professional planning </w:t>
      </w:r>
      <w:r w:rsidR="000922E4">
        <w:rPr>
          <w:rFonts w:cstheme="minorHAnsi"/>
        </w:rPr>
        <w:t xml:space="preserve">practice </w:t>
      </w:r>
      <w:r w:rsidR="007B0F3D">
        <w:rPr>
          <w:rFonts w:cstheme="minorHAnsi"/>
        </w:rPr>
        <w:t xml:space="preserve">that </w:t>
      </w:r>
      <w:r w:rsidR="003468A9" w:rsidRPr="003468A9">
        <w:rPr>
          <w:rFonts w:cstheme="minorHAnsi"/>
        </w:rPr>
        <w:t xml:space="preserve"> may be relevant to </w:t>
      </w:r>
      <w:r>
        <w:rPr>
          <w:rFonts w:cstheme="minorHAnsi"/>
        </w:rPr>
        <w:t>the company</w:t>
      </w:r>
      <w:r w:rsidR="007B0F3D">
        <w:rPr>
          <w:rFonts w:cstheme="minorHAnsi"/>
        </w:rPr>
        <w:t>’s</w:t>
      </w:r>
      <w:r>
        <w:rPr>
          <w:rFonts w:cstheme="minorHAnsi"/>
        </w:rPr>
        <w:t xml:space="preserve"> business and advise on their implications.</w:t>
      </w:r>
    </w:p>
    <w:p w14:paraId="316F8B15" w14:textId="6562BBA4" w:rsidR="007B0F3D" w:rsidRPr="00F83C4E" w:rsidRDefault="007B0F3D" w:rsidP="00AF6A4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AE5F0E">
        <w:rPr>
          <w:rFonts w:cstheme="minorHAnsi"/>
        </w:rPr>
        <w:t xml:space="preserve">Assist </w:t>
      </w:r>
      <w:r>
        <w:rPr>
          <w:rFonts w:cstheme="minorHAnsi"/>
        </w:rPr>
        <w:t>in developing and implementing internal protocols to expedite the work of the development team in securing planning approvals and development entitlements.</w:t>
      </w:r>
    </w:p>
    <w:p w14:paraId="185705DF" w14:textId="2B36D2A9" w:rsidR="003468A9" w:rsidRPr="003468A9" w:rsidRDefault="003468A9" w:rsidP="00AF6A4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3468A9">
        <w:rPr>
          <w:rFonts w:cstheme="minorHAnsi"/>
        </w:rPr>
        <w:t>Perform other duties as assigned</w:t>
      </w:r>
      <w:r w:rsidR="00BB0D1B">
        <w:rPr>
          <w:rFonts w:cstheme="minorHAnsi"/>
        </w:rPr>
        <w:t>.</w:t>
      </w:r>
    </w:p>
    <w:p w14:paraId="4BB18DB2" w14:textId="77777777" w:rsidR="00792AA2" w:rsidRDefault="00792AA2" w:rsidP="003468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92AA2" w14:paraId="29AD2E07" w14:textId="77777777" w:rsidTr="00792AA2">
        <w:tc>
          <w:tcPr>
            <w:tcW w:w="10790" w:type="dxa"/>
            <w:shd w:val="clear" w:color="auto" w:fill="000000" w:themeFill="text1"/>
          </w:tcPr>
          <w:p w14:paraId="0496D670" w14:textId="70CCFC7E" w:rsidR="00792AA2" w:rsidRPr="00792AA2" w:rsidRDefault="00792AA2" w:rsidP="00FB0AB5">
            <w:pPr>
              <w:rPr>
                <w:sz w:val="28"/>
                <w:szCs w:val="28"/>
              </w:rPr>
            </w:pPr>
            <w:r w:rsidRPr="00792AA2">
              <w:rPr>
                <w:sz w:val="28"/>
                <w:szCs w:val="28"/>
              </w:rPr>
              <w:t xml:space="preserve">SECTION </w:t>
            </w:r>
            <w:r>
              <w:rPr>
                <w:sz w:val="28"/>
                <w:szCs w:val="28"/>
              </w:rPr>
              <w:t>4</w:t>
            </w:r>
            <w:r w:rsidRPr="00792AA2">
              <w:rPr>
                <w:sz w:val="28"/>
                <w:szCs w:val="28"/>
              </w:rPr>
              <w:t>: QUALIFICATIONS (EDUCATION, EXPERIENCE, SKILLS, KNOWLEDGE, ABILITIES)</w:t>
            </w:r>
          </w:p>
        </w:tc>
      </w:tr>
    </w:tbl>
    <w:p w14:paraId="669245C1" w14:textId="5CB3BC5D" w:rsidR="009C35C2" w:rsidRDefault="009C35C2" w:rsidP="00792AA2"/>
    <w:p w14:paraId="63CF3179" w14:textId="77777777" w:rsidR="007B0F3D" w:rsidRDefault="006676AD" w:rsidP="006676AD">
      <w:pPr>
        <w:numPr>
          <w:ilvl w:val="0"/>
          <w:numId w:val="23"/>
        </w:numPr>
        <w:spacing w:after="0" w:line="256" w:lineRule="auto"/>
      </w:pPr>
      <w:r>
        <w:t xml:space="preserve">Must have </w:t>
      </w:r>
      <w:r w:rsidR="007B0F3D">
        <w:t xml:space="preserve">a </w:t>
      </w:r>
      <w:r>
        <w:t xml:space="preserve">university degree in planning </w:t>
      </w:r>
      <w:r w:rsidR="007B0F3D">
        <w:t>from a program accredited by the Professional Standards Board for the Planning Profession in Canada.</w:t>
      </w:r>
    </w:p>
    <w:p w14:paraId="370CBA58" w14:textId="0817C7DE" w:rsidR="004A7BF1" w:rsidRDefault="007B0F3D" w:rsidP="006676AD">
      <w:pPr>
        <w:numPr>
          <w:ilvl w:val="0"/>
          <w:numId w:val="23"/>
        </w:numPr>
        <w:spacing w:after="0" w:line="256" w:lineRule="auto"/>
      </w:pPr>
      <w:r>
        <w:t>Registered Professional Planner (RPP) designation wo</w:t>
      </w:r>
      <w:r w:rsidR="004A7BF1">
        <w:t>uld be an asset; candidates working towards their RPP would be expected and supported to complete it within a reasonable time.</w:t>
      </w:r>
    </w:p>
    <w:p w14:paraId="21A0E667" w14:textId="4685C377" w:rsidR="004A7BF1" w:rsidRDefault="00184AAE" w:rsidP="00184AAE">
      <w:pPr>
        <w:numPr>
          <w:ilvl w:val="0"/>
          <w:numId w:val="23"/>
        </w:numPr>
        <w:spacing w:after="0" w:line="256" w:lineRule="auto"/>
      </w:pPr>
      <w:r>
        <w:t xml:space="preserve">A minimum of one year of directly related experience in a similar role would be an asset; </w:t>
      </w:r>
      <w:r w:rsidR="00AC3DA0">
        <w:t xml:space="preserve">candidates with more limited experience in </w:t>
      </w:r>
      <w:r>
        <w:t>similar role</w:t>
      </w:r>
      <w:r w:rsidR="00AC3DA0">
        <w:t>s</w:t>
      </w:r>
      <w:r>
        <w:t xml:space="preserve"> or related sector</w:t>
      </w:r>
      <w:r w:rsidR="00AC3DA0">
        <w:t>s</w:t>
      </w:r>
      <w:r>
        <w:t xml:space="preserve"> (e.g., planning, building technology, construction, real estate, housing) </w:t>
      </w:r>
      <w:r w:rsidR="00AC3DA0">
        <w:t>may be considered</w:t>
      </w:r>
      <w:r>
        <w:t>.</w:t>
      </w:r>
    </w:p>
    <w:p w14:paraId="3A957B6B" w14:textId="261948C2" w:rsidR="006676AD" w:rsidRDefault="006676AD" w:rsidP="006676AD">
      <w:pPr>
        <w:numPr>
          <w:ilvl w:val="0"/>
          <w:numId w:val="23"/>
        </w:numPr>
        <w:spacing w:after="0" w:line="256" w:lineRule="auto"/>
      </w:pPr>
      <w:r>
        <w:t>Must be detail oriented, analytical, problem solver</w:t>
      </w:r>
      <w:r w:rsidR="004A7BF1">
        <w:t>,</w:t>
      </w:r>
      <w:r>
        <w:t xml:space="preserve"> and creative thinker</w:t>
      </w:r>
      <w:r w:rsidR="004A7BF1">
        <w:t>.</w:t>
      </w:r>
    </w:p>
    <w:p w14:paraId="69093879" w14:textId="3D3F8020" w:rsidR="003468A9" w:rsidRDefault="003468A9" w:rsidP="003468A9">
      <w:pPr>
        <w:numPr>
          <w:ilvl w:val="0"/>
          <w:numId w:val="23"/>
        </w:numPr>
        <w:spacing w:after="0" w:line="256" w:lineRule="auto"/>
      </w:pPr>
      <w:r>
        <w:t>Advanced skills in Microsoft Office products (Excel, Word, PowerPoint)</w:t>
      </w:r>
      <w:r w:rsidR="00AC3DA0">
        <w:t xml:space="preserve"> are required. Proficiency in one or more design-related software applications (e.g., CAD, Sketch-up) would be an asset.</w:t>
      </w:r>
    </w:p>
    <w:p w14:paraId="13AC899F" w14:textId="5A1EFC1D" w:rsidR="006676AD" w:rsidRDefault="006676AD" w:rsidP="006676AD">
      <w:pPr>
        <w:numPr>
          <w:ilvl w:val="0"/>
          <w:numId w:val="23"/>
        </w:numPr>
        <w:spacing w:after="0" w:line="256" w:lineRule="auto"/>
      </w:pPr>
      <w:r>
        <w:t>Ability to work independently and perform at a high level of accuracy</w:t>
      </w:r>
      <w:r w:rsidR="004A7BF1">
        <w:t>.</w:t>
      </w:r>
    </w:p>
    <w:p w14:paraId="5D2852C1" w14:textId="71BABA2D" w:rsidR="006676AD" w:rsidRDefault="006676AD" w:rsidP="006676AD">
      <w:pPr>
        <w:numPr>
          <w:ilvl w:val="0"/>
          <w:numId w:val="23"/>
        </w:numPr>
        <w:spacing w:after="0" w:line="256" w:lineRule="auto"/>
      </w:pPr>
      <w:r>
        <w:t>Highly committed to meeting all deadlines and goals</w:t>
      </w:r>
      <w:r w:rsidR="004A7BF1">
        <w:t>.</w:t>
      </w:r>
    </w:p>
    <w:p w14:paraId="6EFBA694" w14:textId="238541CB" w:rsidR="006676AD" w:rsidRDefault="006676AD" w:rsidP="006676AD">
      <w:pPr>
        <w:numPr>
          <w:ilvl w:val="0"/>
          <w:numId w:val="23"/>
        </w:numPr>
        <w:spacing w:after="0" w:line="256" w:lineRule="auto"/>
      </w:pPr>
      <w:r>
        <w:t xml:space="preserve">Strong </w:t>
      </w:r>
      <w:proofErr w:type="gramStart"/>
      <w:r>
        <w:t>organization</w:t>
      </w:r>
      <w:proofErr w:type="gramEnd"/>
      <w:r>
        <w:t xml:space="preserve"> skills</w:t>
      </w:r>
      <w:r w:rsidR="004A7BF1">
        <w:t>.</w:t>
      </w:r>
    </w:p>
    <w:p w14:paraId="74BCA26E" w14:textId="2B3A0B84" w:rsidR="006676AD" w:rsidRDefault="006676AD" w:rsidP="003D2A3A">
      <w:pPr>
        <w:numPr>
          <w:ilvl w:val="0"/>
          <w:numId w:val="23"/>
        </w:numPr>
        <w:spacing w:after="0" w:line="256" w:lineRule="auto"/>
      </w:pPr>
      <w:r>
        <w:t>Ability to be flexible</w:t>
      </w:r>
      <w:r w:rsidR="004A7BF1">
        <w:t xml:space="preserve">, </w:t>
      </w:r>
      <w:r>
        <w:t>prioritize</w:t>
      </w:r>
      <w:r w:rsidR="004A7BF1">
        <w:t>,</w:t>
      </w:r>
      <w:r>
        <w:t xml:space="preserve"> multi-task</w:t>
      </w:r>
      <w:r w:rsidR="00184AAE">
        <w:t>, and work effectively in a fast-paced environment</w:t>
      </w:r>
      <w:r w:rsidR="004A7BF1">
        <w:t>.</w:t>
      </w:r>
    </w:p>
    <w:p w14:paraId="03B0489B" w14:textId="6AEB0143" w:rsidR="006676AD" w:rsidRDefault="006676AD" w:rsidP="006676AD">
      <w:pPr>
        <w:numPr>
          <w:ilvl w:val="0"/>
          <w:numId w:val="23"/>
        </w:numPr>
        <w:spacing w:after="0" w:line="256" w:lineRule="auto"/>
      </w:pPr>
      <w:r>
        <w:t>Strong interpersonal skills and ability to build lasting relationships</w:t>
      </w:r>
      <w:r w:rsidR="00AC3DA0">
        <w:t>.</w:t>
      </w:r>
    </w:p>
    <w:p w14:paraId="3C85C229" w14:textId="77777777" w:rsidR="003363C2" w:rsidRPr="003363C2" w:rsidRDefault="003363C2" w:rsidP="003363C2">
      <w:pPr>
        <w:spacing w:after="0"/>
      </w:pPr>
    </w:p>
    <w:p w14:paraId="22999100" w14:textId="03232994" w:rsidR="001109D7" w:rsidRDefault="001109D7" w:rsidP="001109D7">
      <w:pPr>
        <w:rPr>
          <w:b/>
          <w:bCs/>
          <w:sz w:val="24"/>
          <w:szCs w:val="24"/>
        </w:rPr>
      </w:pPr>
      <w:r w:rsidRPr="004D478D">
        <w:rPr>
          <w:b/>
          <w:bCs/>
          <w:sz w:val="24"/>
          <w:szCs w:val="24"/>
          <w:u w:val="single"/>
        </w:rPr>
        <w:t>OR</w:t>
      </w:r>
      <w:r w:rsidRPr="004D478D">
        <w:rPr>
          <w:b/>
          <w:bCs/>
          <w:sz w:val="24"/>
          <w:szCs w:val="24"/>
        </w:rPr>
        <w:t xml:space="preserve"> EQUIVALENT COMBINATION OF EDUCATION, EXPERIENCE, SKILLS, KNOWLEDGE, AND ABILITIES</w:t>
      </w:r>
    </w:p>
    <w:p w14:paraId="76FED227" w14:textId="10F9D35A" w:rsidR="00040FD5" w:rsidRDefault="00040FD5" w:rsidP="001109D7">
      <w:pPr>
        <w:rPr>
          <w:b/>
          <w:bCs/>
          <w:sz w:val="24"/>
          <w:szCs w:val="24"/>
        </w:rPr>
      </w:pPr>
    </w:p>
    <w:p w14:paraId="5B2DD991" w14:textId="7DE1C468" w:rsidR="00040FD5" w:rsidRPr="004D478D" w:rsidRDefault="00FB36AF" w:rsidP="001109D7">
      <w:pPr>
        <w:rPr>
          <w:b/>
          <w:bCs/>
          <w:sz w:val="24"/>
          <w:szCs w:val="24"/>
        </w:rPr>
      </w:pPr>
      <w:hyperlink r:id="rId7" w:history="1">
        <w:r w:rsidR="00040FD5">
          <w:rPr>
            <w:rStyle w:val="Hyperlink"/>
          </w:rPr>
          <w:t>https://noc.esdc.gc.ca/</w:t>
        </w:r>
      </w:hyperlink>
    </w:p>
    <w:p w14:paraId="2431AA6A" w14:textId="77777777" w:rsidR="001109D7" w:rsidRDefault="001109D7" w:rsidP="001109D7"/>
    <w:sectPr w:rsidR="001109D7" w:rsidSect="0089760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F830A" w14:textId="77777777" w:rsidR="00897607" w:rsidRDefault="00897607" w:rsidP="001109D7">
      <w:pPr>
        <w:spacing w:after="0" w:line="240" w:lineRule="auto"/>
      </w:pPr>
      <w:r>
        <w:separator/>
      </w:r>
    </w:p>
  </w:endnote>
  <w:endnote w:type="continuationSeparator" w:id="0">
    <w:p w14:paraId="1777AF88" w14:textId="77777777" w:rsidR="00897607" w:rsidRDefault="00897607" w:rsidP="0011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67569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531EF" w14:textId="5F82A99B" w:rsidR="001109D7" w:rsidRDefault="001109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329C60" w14:textId="77777777" w:rsidR="001109D7" w:rsidRDefault="00110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8A5E6" w14:textId="77777777" w:rsidR="00897607" w:rsidRDefault="00897607" w:rsidP="001109D7">
      <w:pPr>
        <w:spacing w:after="0" w:line="240" w:lineRule="auto"/>
      </w:pPr>
      <w:r>
        <w:separator/>
      </w:r>
    </w:p>
  </w:footnote>
  <w:footnote w:type="continuationSeparator" w:id="0">
    <w:p w14:paraId="65A0E1F2" w14:textId="77777777" w:rsidR="00897607" w:rsidRDefault="00897607" w:rsidP="00110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16D58"/>
    <w:multiLevelType w:val="hybridMultilevel"/>
    <w:tmpl w:val="374E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6548"/>
    <w:multiLevelType w:val="hybridMultilevel"/>
    <w:tmpl w:val="92EA8E2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6AF07B6"/>
    <w:multiLevelType w:val="multilevel"/>
    <w:tmpl w:val="069E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837EC"/>
    <w:multiLevelType w:val="multilevel"/>
    <w:tmpl w:val="4918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9299B"/>
    <w:multiLevelType w:val="multilevel"/>
    <w:tmpl w:val="B6DA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A0336"/>
    <w:multiLevelType w:val="hybridMultilevel"/>
    <w:tmpl w:val="DA16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51669"/>
    <w:multiLevelType w:val="hybridMultilevel"/>
    <w:tmpl w:val="C902F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83CC0"/>
    <w:multiLevelType w:val="hybridMultilevel"/>
    <w:tmpl w:val="A02C2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E5B5C"/>
    <w:multiLevelType w:val="hybridMultilevel"/>
    <w:tmpl w:val="539A8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9A5424"/>
    <w:multiLevelType w:val="hybridMultilevel"/>
    <w:tmpl w:val="4946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61749"/>
    <w:multiLevelType w:val="multilevel"/>
    <w:tmpl w:val="029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82954"/>
    <w:multiLevelType w:val="hybridMultilevel"/>
    <w:tmpl w:val="4F48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41D98"/>
    <w:multiLevelType w:val="multilevel"/>
    <w:tmpl w:val="2754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0B1FA5"/>
    <w:multiLevelType w:val="hybridMultilevel"/>
    <w:tmpl w:val="710E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F6A67"/>
    <w:multiLevelType w:val="multilevel"/>
    <w:tmpl w:val="8D84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2B15A8"/>
    <w:multiLevelType w:val="multilevel"/>
    <w:tmpl w:val="F0BC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220D93"/>
    <w:multiLevelType w:val="multilevel"/>
    <w:tmpl w:val="FCAE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3120C7"/>
    <w:multiLevelType w:val="multilevel"/>
    <w:tmpl w:val="496A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4C3092"/>
    <w:multiLevelType w:val="multilevel"/>
    <w:tmpl w:val="3422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8522E2"/>
    <w:multiLevelType w:val="multilevel"/>
    <w:tmpl w:val="DBEA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9819FB"/>
    <w:multiLevelType w:val="hybridMultilevel"/>
    <w:tmpl w:val="B444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82A65"/>
    <w:multiLevelType w:val="hybridMultilevel"/>
    <w:tmpl w:val="28E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C5BA3"/>
    <w:multiLevelType w:val="hybridMultilevel"/>
    <w:tmpl w:val="90D0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F2084"/>
    <w:multiLevelType w:val="hybridMultilevel"/>
    <w:tmpl w:val="43546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4D49"/>
    <w:multiLevelType w:val="multilevel"/>
    <w:tmpl w:val="702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A175CD"/>
    <w:multiLevelType w:val="multilevel"/>
    <w:tmpl w:val="246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211101"/>
    <w:multiLevelType w:val="multilevel"/>
    <w:tmpl w:val="FFA8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463041">
    <w:abstractNumId w:val="0"/>
  </w:num>
  <w:num w:numId="2" w16cid:durableId="547693010">
    <w:abstractNumId w:val="20"/>
  </w:num>
  <w:num w:numId="3" w16cid:durableId="800922325">
    <w:abstractNumId w:val="1"/>
  </w:num>
  <w:num w:numId="4" w16cid:durableId="2109889693">
    <w:abstractNumId w:val="8"/>
  </w:num>
  <w:num w:numId="5" w16cid:durableId="1463109142">
    <w:abstractNumId w:val="11"/>
  </w:num>
  <w:num w:numId="6" w16cid:durableId="1358775871">
    <w:abstractNumId w:val="10"/>
  </w:num>
  <w:num w:numId="7" w16cid:durableId="2052265234">
    <w:abstractNumId w:val="7"/>
  </w:num>
  <w:num w:numId="8" w16cid:durableId="1769740641">
    <w:abstractNumId w:val="3"/>
  </w:num>
  <w:num w:numId="9" w16cid:durableId="692658394">
    <w:abstractNumId w:val="16"/>
  </w:num>
  <w:num w:numId="10" w16cid:durableId="439305520">
    <w:abstractNumId w:val="5"/>
  </w:num>
  <w:num w:numId="11" w16cid:durableId="1149323955">
    <w:abstractNumId w:val="21"/>
  </w:num>
  <w:num w:numId="12" w16cid:durableId="1098676945">
    <w:abstractNumId w:val="2"/>
  </w:num>
  <w:num w:numId="13" w16cid:durableId="1849297134">
    <w:abstractNumId w:val="17"/>
  </w:num>
  <w:num w:numId="14" w16cid:durableId="1338775120">
    <w:abstractNumId w:val="10"/>
  </w:num>
  <w:num w:numId="15" w16cid:durableId="245267303">
    <w:abstractNumId w:val="13"/>
  </w:num>
  <w:num w:numId="16" w16cid:durableId="2133592822">
    <w:abstractNumId w:val="25"/>
  </w:num>
  <w:num w:numId="17" w16cid:durableId="1618219387">
    <w:abstractNumId w:val="4"/>
  </w:num>
  <w:num w:numId="18" w16cid:durableId="2095734814">
    <w:abstractNumId w:val="14"/>
  </w:num>
  <w:num w:numId="19" w16cid:durableId="691491464">
    <w:abstractNumId w:val="9"/>
  </w:num>
  <w:num w:numId="20" w16cid:durableId="984092812">
    <w:abstractNumId w:val="18"/>
  </w:num>
  <w:num w:numId="21" w16cid:durableId="218592357">
    <w:abstractNumId w:val="26"/>
  </w:num>
  <w:num w:numId="22" w16cid:durableId="972978900">
    <w:abstractNumId w:val="15"/>
  </w:num>
  <w:num w:numId="23" w16cid:durableId="1139417779">
    <w:abstractNumId w:val="24"/>
  </w:num>
  <w:num w:numId="24" w16cid:durableId="1361123898">
    <w:abstractNumId w:val="23"/>
  </w:num>
  <w:num w:numId="25" w16cid:durableId="319232424">
    <w:abstractNumId w:val="23"/>
  </w:num>
  <w:num w:numId="26" w16cid:durableId="522986451">
    <w:abstractNumId w:val="22"/>
  </w:num>
  <w:num w:numId="27" w16cid:durableId="801456776">
    <w:abstractNumId w:val="12"/>
  </w:num>
  <w:num w:numId="28" w16cid:durableId="49428951">
    <w:abstractNumId w:val="19"/>
  </w:num>
  <w:num w:numId="29" w16cid:durableId="1853644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B5"/>
    <w:rsid w:val="00040FD5"/>
    <w:rsid w:val="000716A2"/>
    <w:rsid w:val="000922E4"/>
    <w:rsid w:val="000F3019"/>
    <w:rsid w:val="001109D7"/>
    <w:rsid w:val="00154C46"/>
    <w:rsid w:val="00184AAE"/>
    <w:rsid w:val="002060B2"/>
    <w:rsid w:val="00250C5F"/>
    <w:rsid w:val="00280DD9"/>
    <w:rsid w:val="0028191E"/>
    <w:rsid w:val="002C67D1"/>
    <w:rsid w:val="002E5002"/>
    <w:rsid w:val="003145C0"/>
    <w:rsid w:val="003363C2"/>
    <w:rsid w:val="003468A9"/>
    <w:rsid w:val="003B55D3"/>
    <w:rsid w:val="00441A35"/>
    <w:rsid w:val="004737DA"/>
    <w:rsid w:val="00474691"/>
    <w:rsid w:val="00482EDC"/>
    <w:rsid w:val="004A15F4"/>
    <w:rsid w:val="004A7BF1"/>
    <w:rsid w:val="004D5982"/>
    <w:rsid w:val="00505216"/>
    <w:rsid w:val="005147C4"/>
    <w:rsid w:val="00580462"/>
    <w:rsid w:val="00656F51"/>
    <w:rsid w:val="006676AD"/>
    <w:rsid w:val="00667D72"/>
    <w:rsid w:val="00672E54"/>
    <w:rsid w:val="007365DA"/>
    <w:rsid w:val="0073689C"/>
    <w:rsid w:val="00762895"/>
    <w:rsid w:val="00792AA2"/>
    <w:rsid w:val="007A5212"/>
    <w:rsid w:val="007B0F3D"/>
    <w:rsid w:val="00874F60"/>
    <w:rsid w:val="00894A9A"/>
    <w:rsid w:val="00896ED6"/>
    <w:rsid w:val="00897607"/>
    <w:rsid w:val="008A5C1E"/>
    <w:rsid w:val="008C191E"/>
    <w:rsid w:val="008D03C3"/>
    <w:rsid w:val="008D0870"/>
    <w:rsid w:val="008D13CE"/>
    <w:rsid w:val="00943B1B"/>
    <w:rsid w:val="00946459"/>
    <w:rsid w:val="00987FE3"/>
    <w:rsid w:val="009A773E"/>
    <w:rsid w:val="009C35C2"/>
    <w:rsid w:val="009D5C8A"/>
    <w:rsid w:val="009F323A"/>
    <w:rsid w:val="00A33515"/>
    <w:rsid w:val="00A34440"/>
    <w:rsid w:val="00A74686"/>
    <w:rsid w:val="00AB4CB5"/>
    <w:rsid w:val="00AC04FB"/>
    <w:rsid w:val="00AC3DA0"/>
    <w:rsid w:val="00AC4956"/>
    <w:rsid w:val="00AE5F0E"/>
    <w:rsid w:val="00AF6A4C"/>
    <w:rsid w:val="00B00E2D"/>
    <w:rsid w:val="00B04C45"/>
    <w:rsid w:val="00B34560"/>
    <w:rsid w:val="00B624EF"/>
    <w:rsid w:val="00B6365A"/>
    <w:rsid w:val="00B668F1"/>
    <w:rsid w:val="00B71D86"/>
    <w:rsid w:val="00B85F15"/>
    <w:rsid w:val="00BB0D1B"/>
    <w:rsid w:val="00C52582"/>
    <w:rsid w:val="00C81EA1"/>
    <w:rsid w:val="00CA49C2"/>
    <w:rsid w:val="00CD3EC5"/>
    <w:rsid w:val="00D7163F"/>
    <w:rsid w:val="00D73D5D"/>
    <w:rsid w:val="00DC37E6"/>
    <w:rsid w:val="00DD7C3A"/>
    <w:rsid w:val="00DE060D"/>
    <w:rsid w:val="00DF3B6F"/>
    <w:rsid w:val="00E15D92"/>
    <w:rsid w:val="00E6447A"/>
    <w:rsid w:val="00E659D9"/>
    <w:rsid w:val="00E831A5"/>
    <w:rsid w:val="00EB6811"/>
    <w:rsid w:val="00EC5BAA"/>
    <w:rsid w:val="00ED1D97"/>
    <w:rsid w:val="00ED44F1"/>
    <w:rsid w:val="00F236A9"/>
    <w:rsid w:val="00F2496B"/>
    <w:rsid w:val="00F64855"/>
    <w:rsid w:val="00F83C4E"/>
    <w:rsid w:val="00FB0AB5"/>
    <w:rsid w:val="00F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3D57"/>
  <w15:chartTrackingRefBased/>
  <w15:docId w15:val="{FC54E511-F6F0-4CBF-9BA1-067CAC3F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A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0A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A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0A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B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D7"/>
  </w:style>
  <w:style w:type="paragraph" w:styleId="Footer">
    <w:name w:val="footer"/>
    <w:basedOn w:val="Normal"/>
    <w:link w:val="FooterChar"/>
    <w:uiPriority w:val="99"/>
    <w:unhideWhenUsed/>
    <w:rsid w:val="00110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D7"/>
  </w:style>
  <w:style w:type="paragraph" w:customStyle="1" w:styleId="Default">
    <w:name w:val="Default"/>
    <w:rsid w:val="00896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0FD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D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oc.esdc.gc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Heaton, CPHR Candidate</dc:creator>
  <cp:keywords/>
  <dc:description/>
  <cp:lastModifiedBy>Madison Petkau</cp:lastModifiedBy>
  <cp:revision>2</cp:revision>
  <cp:lastPrinted>2022-03-01T17:04:00Z</cp:lastPrinted>
  <dcterms:created xsi:type="dcterms:W3CDTF">2024-04-09T19:03:00Z</dcterms:created>
  <dcterms:modified xsi:type="dcterms:W3CDTF">2024-04-09T19:03:00Z</dcterms:modified>
</cp:coreProperties>
</file>